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AA" w:rsidRDefault="00DF2BAA" w:rsidP="00DF2BAA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ГОРБУНОВСКОГО СЕЛЬСОВЕТА</w:t>
      </w:r>
    </w:p>
    <w:p w:rsidR="00DF2BAA" w:rsidRDefault="00DF2BAA" w:rsidP="00DF2BAA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DF2BAA" w:rsidRDefault="00DF2BAA" w:rsidP="00DF2BA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DF2BAA" w:rsidRDefault="00DF2BAA" w:rsidP="00DF2BAA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:rsidR="00DF2BAA" w:rsidRDefault="00DF2BAA" w:rsidP="00DF2B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с. Горбуново</w:t>
      </w:r>
    </w:p>
    <w:p w:rsidR="00DF2BAA" w:rsidRDefault="006658F1" w:rsidP="00DF2BAA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>20.05.2020</w:t>
      </w:r>
      <w:r w:rsidR="00DF2BAA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0</w:t>
      </w:r>
    </w:p>
    <w:p w:rsidR="00DF2BAA" w:rsidRDefault="00DF2BAA" w:rsidP="00DF2BAA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месячника  безопасности людей на водных объектах</w:t>
      </w:r>
    </w:p>
    <w:p w:rsidR="00DF2BAA" w:rsidRDefault="00DF2BAA" w:rsidP="00DF2BAA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Горбуновского  сельсовета Куйбышевского  района Новосибирской области </w:t>
      </w:r>
      <w:r w:rsidR="006658F1">
        <w:rPr>
          <w:rFonts w:ascii="Times New Roman" w:hAnsi="Times New Roman"/>
          <w:sz w:val="28"/>
          <w:szCs w:val="28"/>
        </w:rPr>
        <w:t xml:space="preserve"> в период купального сезона 2020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DF2BAA" w:rsidRDefault="00DF2BAA" w:rsidP="00DF2BAA">
      <w:pPr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F2BAA" w:rsidRDefault="00DF2BAA" w:rsidP="00DF2BA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 от 06.10.2003 № 131-ФЗ «Об общих принципах организации местного самоуправления в Российской Федерации»   Уставом Горбуновского сельсовета Куйбышевского района Новосибирской области,  в целях качественного осуществления мероприятий по обеспечению безопасности людей на водных объектах, охране их жизни и здоровья, недопущению несчастных случаев и происшествий, гибели и травмотизма людей на водных объектах Горбуновского сельсовета</w:t>
      </w:r>
      <w:r w:rsidR="006658F1">
        <w:rPr>
          <w:rFonts w:ascii="Times New Roman" w:hAnsi="Times New Roman" w:cs="Times New Roman"/>
          <w:sz w:val="28"/>
          <w:szCs w:val="28"/>
        </w:rPr>
        <w:t xml:space="preserve"> в период купального сезона 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 администрация Горбуновского сельсовета Куйбышевского района Новосибирской области</w:t>
      </w:r>
    </w:p>
    <w:p w:rsidR="00DF2BAA" w:rsidRDefault="00DF2BAA" w:rsidP="00DF2BAA">
      <w:pPr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DF2BAA" w:rsidRDefault="00DF2BAA" w:rsidP="00DF2BAA">
      <w:pPr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1.Утвердить: </w:t>
      </w:r>
    </w:p>
    <w:p w:rsidR="00DF2BAA" w:rsidRDefault="00DF2BAA" w:rsidP="00DF2BAA">
      <w:pPr>
        <w:adjustRightInd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План проведения месячника безопасности людей на водных объектах Горбуновского сельсовета Куйбышевского района Новосибирской области</w:t>
      </w:r>
      <w:r w:rsidR="006658F1">
        <w:rPr>
          <w:rFonts w:ascii="Times New Roman" w:hAnsi="Times New Roman"/>
          <w:sz w:val="28"/>
          <w:szCs w:val="28"/>
        </w:rPr>
        <w:t xml:space="preserve"> в период купального сезона 2020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</w:t>
      </w:r>
      <w:r w:rsidR="0090551C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2) Сроки проведения месячника безопасности людей на водных объектах Горбуновского сельсовета  с 24 мая по 15 с</w:t>
      </w:r>
      <w:r w:rsidR="006658F1">
        <w:rPr>
          <w:rFonts w:ascii="Times New Roman" w:hAnsi="Times New Roman"/>
          <w:color w:val="000000"/>
          <w:sz w:val="28"/>
          <w:szCs w:val="28"/>
        </w:rPr>
        <w:t>ентября 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0551C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0551C">
        <w:rPr>
          <w:rFonts w:ascii="Times New Roman" w:hAnsi="Times New Roman"/>
          <w:sz w:val="28"/>
          <w:szCs w:val="28"/>
        </w:rPr>
        <w:t>3) Определить реестр пляжей и мест массового (неорганизованного) отдыха людей на реке Ом</w:t>
      </w:r>
      <w:r w:rsidR="006658F1">
        <w:rPr>
          <w:rFonts w:ascii="Times New Roman" w:hAnsi="Times New Roman"/>
          <w:sz w:val="28"/>
          <w:szCs w:val="28"/>
        </w:rPr>
        <w:t>ь в период летнего сезона в 2020</w:t>
      </w:r>
      <w:r w:rsidR="0090551C">
        <w:rPr>
          <w:rFonts w:ascii="Times New Roman" w:hAnsi="Times New Roman"/>
          <w:sz w:val="28"/>
          <w:szCs w:val="28"/>
        </w:rPr>
        <w:t xml:space="preserve"> года (приложение №2)</w:t>
      </w:r>
    </w:p>
    <w:p w:rsidR="0090551C" w:rsidRDefault="0090551C" w:rsidP="00905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Специалисту 1 разряда  администрации Горбуновского сельсовета </w:t>
      </w:r>
    </w:p>
    <w:p w:rsidR="0090551C" w:rsidRDefault="0090551C" w:rsidP="00905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Потапенко Л.А. обеспечить опубликование постановления в периодическом печатном издании «Вестник» органов местного самоуправления Горбуновского сельсовета.</w:t>
      </w:r>
    </w:p>
    <w:p w:rsidR="0090551C" w:rsidRDefault="0090551C" w:rsidP="009055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специалиста 1 разряда администрации Горбуновского сельсовета Казакову М.Н.</w:t>
      </w: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Горбуновского сельсовета </w:t>
      </w: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DF2BAA" w:rsidRDefault="00DF2BAA" w:rsidP="00DF2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</w:t>
      </w:r>
      <w:r w:rsidR="006658F1">
        <w:rPr>
          <w:rFonts w:ascii="Times New Roman" w:hAnsi="Times New Roman"/>
          <w:sz w:val="28"/>
          <w:szCs w:val="28"/>
        </w:rPr>
        <w:t xml:space="preserve">                    О.В.Колосов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AD0DFE" w:rsidRDefault="00AD0DFE" w:rsidP="00DF2BAA">
      <w:pPr>
        <w:spacing w:after="0" w:line="240" w:lineRule="auto"/>
        <w:rPr>
          <w:rFonts w:ascii="Times New Roman" w:hAnsi="Times New Roman"/>
          <w:sz w:val="28"/>
          <w:szCs w:val="28"/>
        </w:rPr>
        <w:sectPr w:rsidR="00AD0DFE" w:rsidSect="00AD0DFE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0DFE" w:rsidRPr="00AD0DFE" w:rsidRDefault="00AD0DFE" w:rsidP="00AD0DFE">
      <w:pPr>
        <w:tabs>
          <w:tab w:val="left" w:pos="1820"/>
        </w:tabs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AD0DF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AD0DFE" w:rsidRPr="00AD0DFE" w:rsidRDefault="00AD0DFE" w:rsidP="00AD0DFE">
      <w:pPr>
        <w:tabs>
          <w:tab w:val="left" w:pos="1820"/>
        </w:tabs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AD0DF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D0DFE" w:rsidRPr="00AD0DFE" w:rsidRDefault="00AD0DFE" w:rsidP="00AD0DFE">
      <w:pPr>
        <w:tabs>
          <w:tab w:val="left" w:pos="1820"/>
        </w:tabs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D0DFE">
        <w:rPr>
          <w:rFonts w:ascii="Times New Roman" w:hAnsi="Times New Roman"/>
          <w:sz w:val="24"/>
          <w:szCs w:val="24"/>
        </w:rPr>
        <w:t>Горбуновского</w:t>
      </w:r>
      <w:proofErr w:type="spellEnd"/>
      <w:r w:rsidRPr="00AD0DFE">
        <w:rPr>
          <w:rFonts w:ascii="Times New Roman" w:hAnsi="Times New Roman"/>
          <w:sz w:val="24"/>
          <w:szCs w:val="24"/>
        </w:rPr>
        <w:t xml:space="preserve"> сельсовета</w:t>
      </w:r>
    </w:p>
    <w:p w:rsidR="00AD0DFE" w:rsidRPr="00AD0DFE" w:rsidRDefault="00AD0DFE" w:rsidP="00AD0DFE">
      <w:pPr>
        <w:tabs>
          <w:tab w:val="left" w:pos="1820"/>
        </w:tabs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AD0DFE">
        <w:rPr>
          <w:rFonts w:ascii="Times New Roman" w:hAnsi="Times New Roman"/>
          <w:sz w:val="24"/>
          <w:szCs w:val="24"/>
        </w:rPr>
        <w:t xml:space="preserve">Куйбышевского района </w:t>
      </w:r>
    </w:p>
    <w:p w:rsidR="00AD0DFE" w:rsidRPr="00AD0DFE" w:rsidRDefault="00AD0DFE" w:rsidP="00AD0DFE">
      <w:pPr>
        <w:tabs>
          <w:tab w:val="left" w:pos="1820"/>
        </w:tabs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AD0DFE">
        <w:rPr>
          <w:rFonts w:ascii="Times New Roman" w:hAnsi="Times New Roman"/>
          <w:sz w:val="24"/>
          <w:szCs w:val="24"/>
        </w:rPr>
        <w:t>Новосибирской области</w:t>
      </w:r>
    </w:p>
    <w:p w:rsidR="00AD0DFE" w:rsidRPr="00AD0DFE" w:rsidRDefault="00AD0DFE" w:rsidP="00AD0DFE">
      <w:pPr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AD0DFE">
        <w:rPr>
          <w:rFonts w:ascii="Times New Roman" w:hAnsi="Times New Roman"/>
          <w:sz w:val="24"/>
          <w:szCs w:val="24"/>
        </w:rPr>
        <w:t>от 20.05.2020 г. № 30</w:t>
      </w: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FE">
        <w:rPr>
          <w:rFonts w:ascii="Times New Roman" w:hAnsi="Times New Roman"/>
          <w:b/>
          <w:sz w:val="24"/>
          <w:szCs w:val="24"/>
        </w:rPr>
        <w:t>ПЛАН</w:t>
      </w: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FE">
        <w:rPr>
          <w:rFonts w:ascii="Times New Roman" w:hAnsi="Times New Roman"/>
          <w:b/>
          <w:sz w:val="24"/>
          <w:szCs w:val="24"/>
        </w:rPr>
        <w:t xml:space="preserve">проведения месячника безопасности людей на водных объектах  </w:t>
      </w: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D0DFE">
        <w:rPr>
          <w:rFonts w:ascii="Times New Roman" w:hAnsi="Times New Roman"/>
          <w:b/>
          <w:sz w:val="24"/>
          <w:szCs w:val="24"/>
        </w:rPr>
        <w:t>Горбуновского</w:t>
      </w:r>
      <w:proofErr w:type="spellEnd"/>
      <w:r w:rsidRPr="00AD0DFE">
        <w:rPr>
          <w:rFonts w:ascii="Times New Roman" w:hAnsi="Times New Roman"/>
          <w:b/>
          <w:sz w:val="24"/>
          <w:szCs w:val="24"/>
        </w:rPr>
        <w:t xml:space="preserve"> сельсовета Куйбышевского района Новосибирской области в период купального сезона 2020 года</w:t>
      </w: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FE">
        <w:rPr>
          <w:rFonts w:ascii="Times New Roman" w:hAnsi="Times New Roman"/>
          <w:b/>
          <w:sz w:val="24"/>
          <w:szCs w:val="24"/>
        </w:rPr>
        <w:t>(с 24 мая по 15 сентября 2020 года)</w:t>
      </w:r>
    </w:p>
    <w:p w:rsidR="00AD0DFE" w:rsidRPr="00AD0DFE" w:rsidRDefault="00AD0DFE" w:rsidP="00AD0D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45" w:type="dxa"/>
        <w:jc w:val="center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5751"/>
        <w:gridCol w:w="1505"/>
        <w:gridCol w:w="3462"/>
        <w:gridCol w:w="3112"/>
        <w:gridCol w:w="1285"/>
      </w:tblGrid>
      <w:tr w:rsidR="00AD0DFE" w:rsidRPr="00AD0DFE" w:rsidTr="00AD0DFE">
        <w:trPr>
          <w:trHeight w:val="733"/>
          <w:tblHeader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D0DFE" w:rsidRPr="00AD0DFE" w:rsidRDefault="00AD0DFE" w:rsidP="00AD0DFE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AD0DFE" w:rsidRPr="00AD0DFE" w:rsidRDefault="00AD0DFE" w:rsidP="00AD0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:rsidR="00AD0DFE" w:rsidRPr="00AD0DFE" w:rsidRDefault="00AD0DFE" w:rsidP="00AD0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контролирует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AD0DFE" w:rsidRPr="00AD0DFE" w:rsidTr="00AD0DFE">
        <w:trPr>
          <w:cantSplit/>
          <w:trHeight w:val="382"/>
          <w:jc w:val="center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D0DFE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AD0DFE" w:rsidRPr="00AD0DFE" w:rsidTr="00AD0DFE">
        <w:trPr>
          <w:cantSplit/>
          <w:trHeight w:val="139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Плана  проведения месячника безопасности людей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период купального сезона 2020г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03 мая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11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Доведение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плана проведения месячника безопасности людей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на водных объектах в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Горбуновском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сельсовете Куйбышевского района  в период купального сезона 2020г до населения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До 03 мая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весеннего этапа ежегодной Всероссийской акции «Чистый берег» по отчистке от мусора береговой полосы водных объектах в местах не организованного отдыха людей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обрасти к купальному сезону 2020 года в целях наведения и поддержания  санитарного порядка на берегах водных объектах, развитие общественной активности и бережного отношения граждан к природе</w:t>
            </w:r>
            <w:r w:rsidRPr="00AD0DF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Предоставление обобщенных данных в главное управление МЧС России по Новосибирской области по проведению мероприятий в весеннем этапе ежегодной Всероссийской акции «Чистый берег» по отчистке мусора береговой полосы водных объектов в местах не организованного отдыха людей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 Куйбышевского района Новосибирской области к купальному сезону 2020 года в целях наведения и поддержания санитарного порядка на берегах водных объектах, развития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общественной активности и бережного отношения граждан к природе с предложением фотоматериалов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D0DFE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Уточнения Реестра пляжей и мест неорганизованного отдыха людей на водных объектах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по состоянию на 1 июня 2020 года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1.2.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Выставления знаков безопасности «Купания запрещено не организованного отдыха людей на водных объектах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области»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172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Информирования населения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о правилах безопасного поведения (отдыха) людей на пляжах и в местах массового (неорганизованного) отдыха людей на водных объектах  в средствах массовой информации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Потапенко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Освещения в средствах массовой информации о мероприятиях, проводимых в ходе проведения месячника безопасности людей на водных объектах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 Куйбышевского района Новосибирской области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(с 22 мая по 15 сентября)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Потапенко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201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Работы по выявлению незарегистрированных мест массового (неорганизованного) отдыха людей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и принятию необходимых мер по их обустройству (выставлению спасательных постов) и созданию необходимых безопасных условий для отдыхающих.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Июнь-сентябрь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 Казакова 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226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Организации работы по созданию пляжей (мест массового организованного отдыха людей на воде) в местах массового (неорганизованного) отдыха людей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целях недопущения несчастных случаев и происшествий, гибели и травматизма людей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ГлаваГорбуновского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8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Проведению бесед путем проведения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подворового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обхода неблагополучных семей городского и сельских поселений, расположенных в непосредственной близости у водных объектов, во взаимодействии с органами социальной защиты района, сотрудниками полиции, государственными инспекторами ФКУ «Центр ГИМС МЧС России по Новосибирской области», а также проведения сходов граждан с привлечением старост населенных пунктов по доведению до них Правил поведения людей на водных объектах и проведением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практических занятий по оказанию медицинской помощи пострадавшим, способам и приемам спасения людей на водных объектах, терпящих бедствие, в целях недопущения несчастных случаев, происшествий, гибели и травматизма людей на водных объектах в  период купального сезона 2020 года.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240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Организация более широкого взаимодействия администраций городского и сельских поселений Куйбышевского района Новосибирской области, муниципальными и общественными организациями, участвующими на территории Куйбышевского района Новосибирской области в обеспечении безопасности людей на водных объектах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Июнь - август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34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Необходимости практиковать проведение совместных мероприятий, направленных на повышение уровня обеспечения безопасности людей на водных объектах, более активно использовать возможности средств массовой информации, общественных организаций (Новосибирских областных отделений (филиалов)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ВОСВОДа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и Российского Союза спасателей) в целях пропаганды безопасного отдыха людей на водных объектах, предупреждения и недопущения гибели людей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области.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170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через средства массовой информации о разрешенных и запрещенных к эксплуатации пляжах на водных объектах Куйбышевского района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Потапенко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29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Организация взаимодействия с руководителем полиции межмуниципального отдела МВД России «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Куйбышеский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» в целях обеспечения безопасности граждан и поддержания общественного порядка на пляжах и в местах массового (неорганизованного) отдыха людей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период купального сезона 2020 года, а также рекомендации им приблизить маршруты патрулирования нарядов полиции к водным объектам, где купание запрещено.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8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Принятию необходимых мер по предупреждению и запрещению купания на водных объектах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период купального сезона 2019 года, не соответствующих гигиеническим требованиям, предъявляемым к зонам рекреации водных объектов в соответствии с ГОСТ 17.1.5.02-80 «Гигиенические требования к зонам рекреации водных объектов» и Правил охраны жизни людей на водных объектах в Новосибирской области, утвержденных постановлением Правительства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 от 10 ноября 2014 года № 445-п.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78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Организации и создании подвижных маневренных групп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для проверки мест массового (неорганизованного) отдыха людей на водных объектах в период купального сезона 2020 года с привлечением в них должностных лиц администраций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района, государственных инспекторов ФКУ «Центр ГИМС МЧС России по Новосибирской области», специалистов ГО отдела по безопасности на воде ГКУ Новосибирской области «Центр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ГО, ЧС и ПБ Новосибирской области», сотрудников полиции межмуниципального отдела МВД России «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Куйбышеский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>», спасателей Куйбышевского поисково-спасательного отряда аварийно-спасательной службы Филиала ГКУ Новосибирской области «Центр по обеспечению мероприятий в области гражданской обороны, чрезвычайных ситуаций и пожарной безопасности в Новосибирской области»  в зонах их оперативной ответственности для проверки осуществления мероприятий по обеспечению безопасности людей на водных объектах и мест массового (неорганизованного) отдыха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людей на водных объектах в целях недопущения несчастных случаев, происшествий, гибели и травматизма людей на водных объектах городского и сельских поселений Куйбышевского района Новосибирской области.</w:t>
            </w: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14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Организация и проведение акции «Вода – безопасная территория»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период купального сезона 2020 года.</w:t>
            </w: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21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Представление обобщенных данных в ФКУ «ЦУКС Главного управления МЧС России по Новосибирской области» по проведению мероприятий проведение акции «Вода – безопасная территория»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в период купального сезона 2020 года с приложением фотоматериалов. </w:t>
            </w: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8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1.16..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средствах массовой информации) в местах массового отдыха людей на воде в период купального сезона 2020 года.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До 1 июня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Потапенко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Проведение совместных выездов (рейдов) представителей администрации Куйбышевского района, администрации 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 Куйбышевского района Новосибирской области с привлечением государственных инспекторов ФКУ «Центр ГИМС МЧС России по НСО», сотрудников полиции межмуниципального отдела МВД России «Куйбышевский» по проверке мест массового (неорганизованного) отдыха людей на водных объектах Куйбышевского района.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Казакова М.Н.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15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D0DFE">
              <w:rPr>
                <w:rFonts w:ascii="Times New Roman" w:hAnsi="Times New Roman"/>
                <w:b/>
                <w:sz w:val="24"/>
                <w:szCs w:val="24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AD0DFE" w:rsidRPr="00AD0DFE" w:rsidTr="00AD0DFE">
        <w:trPr>
          <w:cantSplit/>
          <w:trHeight w:val="7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  Представление Главой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Куйбышевского района Новосибирской области  отчетов по итогам </w:t>
            </w:r>
            <w:proofErr w:type="gramStart"/>
            <w:r w:rsidRPr="00AD0DFE">
              <w:rPr>
                <w:rFonts w:ascii="Times New Roman" w:hAnsi="Times New Roman"/>
                <w:sz w:val="24"/>
                <w:szCs w:val="24"/>
              </w:rPr>
              <w:t>выполнения мероприятий месячника безопасности людей</w:t>
            </w:r>
            <w:proofErr w:type="gram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на водных объектах на территории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Куйбышевского района в период купального сезона 2020 года.</w:t>
            </w:r>
          </w:p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До 18 сентября </w:t>
            </w:r>
          </w:p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AD0DFE" w:rsidRDefault="00AD0DFE" w:rsidP="00AD0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F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AD0DFE">
              <w:rPr>
                <w:rFonts w:ascii="Times New Roman" w:hAnsi="Times New Roman"/>
                <w:sz w:val="24"/>
                <w:szCs w:val="24"/>
              </w:rPr>
              <w:t>Горбуновского</w:t>
            </w:r>
            <w:proofErr w:type="spellEnd"/>
            <w:r w:rsidRPr="00AD0DFE">
              <w:rPr>
                <w:rFonts w:ascii="Times New Roman" w:hAnsi="Times New Roman"/>
                <w:sz w:val="24"/>
                <w:szCs w:val="24"/>
              </w:rPr>
              <w:t xml:space="preserve"> сельсовета Колосов О.В..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AD0DFE" w:rsidRDefault="00AD0DFE" w:rsidP="00AD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DFE" w:rsidRDefault="00AD0DFE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DFE" w:rsidRDefault="00AD0DFE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DFE" w:rsidRDefault="00AD0DFE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DFE" w:rsidRDefault="00AD0DFE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CD3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A90" w:rsidRDefault="00EA5A90" w:rsidP="003423B7">
      <w:pPr>
        <w:spacing w:after="0"/>
        <w:jc w:val="right"/>
        <w:rPr>
          <w:rFonts w:ascii="Times New Roman" w:hAnsi="Times New Roman"/>
        </w:rPr>
        <w:sectPr w:rsidR="00EA5A90" w:rsidSect="00AD0DFE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60"/>
        </w:sectPr>
      </w:pP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5A90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5A90">
        <w:rPr>
          <w:rFonts w:ascii="Times New Roman" w:hAnsi="Times New Roman"/>
          <w:sz w:val="24"/>
          <w:szCs w:val="24"/>
        </w:rPr>
        <w:t xml:space="preserve">          к постановлению администрации </w:t>
      </w: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A5A90">
        <w:rPr>
          <w:rFonts w:ascii="Times New Roman" w:hAnsi="Times New Roman"/>
          <w:sz w:val="24"/>
          <w:szCs w:val="24"/>
        </w:rPr>
        <w:t>Горбуновского</w:t>
      </w:r>
      <w:proofErr w:type="spellEnd"/>
      <w:r w:rsidRPr="00EA5A90">
        <w:rPr>
          <w:rFonts w:ascii="Times New Roman" w:hAnsi="Times New Roman"/>
          <w:sz w:val="24"/>
          <w:szCs w:val="24"/>
        </w:rPr>
        <w:t xml:space="preserve"> сельсовета</w:t>
      </w: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5A90">
        <w:rPr>
          <w:rFonts w:ascii="Times New Roman" w:hAnsi="Times New Roman"/>
          <w:sz w:val="24"/>
          <w:szCs w:val="24"/>
        </w:rPr>
        <w:t>Куйбышевского района</w:t>
      </w: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5A90">
        <w:rPr>
          <w:rFonts w:ascii="Times New Roman" w:hAnsi="Times New Roman"/>
          <w:sz w:val="24"/>
          <w:szCs w:val="24"/>
        </w:rPr>
        <w:t>Новосибирской области</w:t>
      </w:r>
    </w:p>
    <w:p w:rsidR="003423B7" w:rsidRPr="00EA5A90" w:rsidRDefault="003423B7" w:rsidP="003423B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5A90">
        <w:rPr>
          <w:rFonts w:ascii="Times New Roman" w:hAnsi="Times New Roman"/>
          <w:sz w:val="24"/>
          <w:szCs w:val="24"/>
        </w:rPr>
        <w:t xml:space="preserve">от 20.05.2020. №30    </w:t>
      </w:r>
    </w:p>
    <w:p w:rsidR="003423B7" w:rsidRPr="00EA5A90" w:rsidRDefault="003423B7" w:rsidP="003423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23B7" w:rsidRPr="00EA5A90" w:rsidRDefault="003423B7" w:rsidP="0034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5A90">
        <w:rPr>
          <w:rFonts w:ascii="Times New Roman" w:hAnsi="Times New Roman"/>
          <w:b/>
          <w:sz w:val="24"/>
          <w:szCs w:val="24"/>
        </w:rPr>
        <w:t>РЕЕСТР</w:t>
      </w:r>
    </w:p>
    <w:p w:rsidR="003423B7" w:rsidRPr="00EA5A90" w:rsidRDefault="003423B7" w:rsidP="0034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5A90">
        <w:rPr>
          <w:rFonts w:ascii="Times New Roman" w:hAnsi="Times New Roman"/>
          <w:b/>
          <w:sz w:val="24"/>
          <w:szCs w:val="24"/>
        </w:rPr>
        <w:t>мест массового отдыха  людей на водных объектах (несанкционированных</w:t>
      </w:r>
      <w:proofErr w:type="gramStart"/>
      <w:r w:rsidRPr="00EA5A90">
        <w:rPr>
          <w:rFonts w:ascii="Times New Roman" w:hAnsi="Times New Roman"/>
          <w:b/>
          <w:sz w:val="24"/>
          <w:szCs w:val="24"/>
        </w:rPr>
        <w:t>)</w:t>
      </w:r>
      <w:proofErr w:type="spellStart"/>
      <w:r w:rsidRPr="00EA5A9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A5A90">
        <w:rPr>
          <w:rFonts w:ascii="Times New Roman" w:hAnsi="Times New Roman"/>
          <w:b/>
          <w:sz w:val="24"/>
          <w:szCs w:val="24"/>
        </w:rPr>
        <w:t>орбуновского</w:t>
      </w:r>
      <w:proofErr w:type="spellEnd"/>
      <w:r w:rsidRPr="00EA5A90">
        <w:rPr>
          <w:rFonts w:ascii="Times New Roman" w:hAnsi="Times New Roman"/>
          <w:b/>
          <w:sz w:val="24"/>
          <w:szCs w:val="24"/>
        </w:rPr>
        <w:t xml:space="preserve"> сельсовета в 2020году</w:t>
      </w:r>
    </w:p>
    <w:tbl>
      <w:tblPr>
        <w:tblStyle w:val="a7"/>
        <w:tblW w:w="0" w:type="auto"/>
        <w:tblLook w:val="04A0"/>
      </w:tblPr>
      <w:tblGrid>
        <w:gridCol w:w="769"/>
        <w:gridCol w:w="2171"/>
        <w:gridCol w:w="1715"/>
        <w:gridCol w:w="1880"/>
        <w:gridCol w:w="1494"/>
        <w:gridCol w:w="1541"/>
      </w:tblGrid>
      <w:tr w:rsidR="003423B7" w:rsidRPr="00EA5A90" w:rsidTr="00F11625">
        <w:tc>
          <w:tcPr>
            <w:tcW w:w="724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A5A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5A9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5A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94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41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Количество автомобильного транспорта</w:t>
            </w:r>
          </w:p>
        </w:tc>
        <w:tc>
          <w:tcPr>
            <w:tcW w:w="1553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Примерное количество людей (выход в течение дня)</w:t>
            </w:r>
          </w:p>
        </w:tc>
        <w:tc>
          <w:tcPr>
            <w:tcW w:w="1567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423B7" w:rsidRPr="00EA5A90" w:rsidTr="00F11625">
        <w:tc>
          <w:tcPr>
            <w:tcW w:w="724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A90">
              <w:rPr>
                <w:rFonts w:ascii="Times New Roman" w:hAnsi="Times New Roman"/>
                <w:sz w:val="24"/>
                <w:szCs w:val="24"/>
              </w:rPr>
              <w:t>С.Горбуново</w:t>
            </w:r>
            <w:proofErr w:type="spellEnd"/>
            <w:r w:rsidRPr="00EA5A90">
              <w:rPr>
                <w:rFonts w:ascii="Times New Roman" w:hAnsi="Times New Roman"/>
                <w:sz w:val="24"/>
                <w:szCs w:val="24"/>
              </w:rPr>
              <w:t xml:space="preserve"> (за чертой населенного пункта 600 </w:t>
            </w:r>
            <w:proofErr w:type="spellStart"/>
            <w:r w:rsidRPr="00EA5A9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EA5A90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EA5A9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A5A90">
              <w:rPr>
                <w:rFonts w:ascii="Times New Roman" w:hAnsi="Times New Roman"/>
                <w:sz w:val="24"/>
                <w:szCs w:val="24"/>
              </w:rPr>
              <w:t xml:space="preserve"> села)</w:t>
            </w:r>
          </w:p>
        </w:tc>
        <w:tc>
          <w:tcPr>
            <w:tcW w:w="1594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A9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EA5A9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EA5A90">
              <w:rPr>
                <w:rFonts w:ascii="Times New Roman" w:hAnsi="Times New Roman"/>
                <w:sz w:val="24"/>
                <w:szCs w:val="24"/>
              </w:rPr>
              <w:t>мь</w:t>
            </w:r>
            <w:proofErr w:type="spellEnd"/>
          </w:p>
        </w:tc>
        <w:tc>
          <w:tcPr>
            <w:tcW w:w="1741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A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7" w:type="dxa"/>
          </w:tcPr>
          <w:p w:rsidR="003423B7" w:rsidRPr="00EA5A90" w:rsidRDefault="003423B7" w:rsidP="00F1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A90" w:rsidRDefault="00EA5A90" w:rsidP="003423B7">
      <w:pPr>
        <w:spacing w:after="0"/>
        <w:jc w:val="center"/>
        <w:rPr>
          <w:rFonts w:ascii="Times New Roman" w:hAnsi="Times New Roman"/>
        </w:rPr>
        <w:sectPr w:rsidR="00EA5A90" w:rsidSect="00EA5A90"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3423B7" w:rsidRDefault="003423B7" w:rsidP="003423B7">
      <w:pPr>
        <w:spacing w:after="0"/>
        <w:jc w:val="center"/>
        <w:rPr>
          <w:rFonts w:ascii="Times New Roman" w:hAnsi="Times New Roman"/>
        </w:rPr>
      </w:pPr>
    </w:p>
    <w:p w:rsidR="003423B7" w:rsidRDefault="003423B7" w:rsidP="003423B7">
      <w:pPr>
        <w:spacing w:after="0"/>
        <w:jc w:val="right"/>
        <w:rPr>
          <w:rFonts w:ascii="Times New Roman" w:hAnsi="Times New Roman"/>
        </w:rPr>
      </w:pPr>
    </w:p>
    <w:p w:rsidR="003423B7" w:rsidRDefault="003423B7" w:rsidP="003423B7">
      <w:pPr>
        <w:spacing w:after="0"/>
        <w:jc w:val="right"/>
        <w:rPr>
          <w:rFonts w:ascii="Times New Roman" w:hAnsi="Times New Roman"/>
        </w:rPr>
      </w:pPr>
    </w:p>
    <w:p w:rsidR="003423B7" w:rsidRDefault="003423B7" w:rsidP="003423B7">
      <w:pPr>
        <w:spacing w:after="0"/>
        <w:jc w:val="right"/>
        <w:rPr>
          <w:rFonts w:ascii="Times New Roman" w:hAnsi="Times New Roman"/>
        </w:rPr>
      </w:pPr>
    </w:p>
    <w:p w:rsidR="003423B7" w:rsidRPr="00E84AD7" w:rsidRDefault="003423B7" w:rsidP="003423B7">
      <w:pPr>
        <w:spacing w:after="0"/>
        <w:jc w:val="right"/>
        <w:rPr>
          <w:rFonts w:ascii="Times New Roman" w:hAnsi="Times New Roman"/>
        </w:rPr>
      </w:pPr>
      <w:r w:rsidRPr="00E84AD7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423B7" w:rsidRPr="004432E6" w:rsidRDefault="003423B7" w:rsidP="003423B7">
      <w:pPr>
        <w:tabs>
          <w:tab w:val="left" w:pos="1820"/>
        </w:tabs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3423B7" w:rsidRPr="004432E6" w:rsidRDefault="003423B7" w:rsidP="003423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356CD3" w:rsidRPr="00AD0DFE" w:rsidRDefault="00356CD3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BAA" w:rsidRPr="00AD0DFE" w:rsidRDefault="00DF2BAA" w:rsidP="00AD0D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39D1" w:rsidRPr="00AD0DFE" w:rsidRDefault="00CB39D1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8F1" w:rsidRPr="00AD0DFE" w:rsidRDefault="006658F1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8F1" w:rsidRPr="00AD0DFE" w:rsidRDefault="006658F1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8F1" w:rsidRPr="00AD0DFE" w:rsidRDefault="006658F1" w:rsidP="00AD0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58F1" w:rsidRPr="00AD0DFE" w:rsidSect="00AD0DFE"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BA" w:rsidRDefault="008039BA" w:rsidP="00AD0DFE">
      <w:pPr>
        <w:spacing w:after="0" w:line="240" w:lineRule="auto"/>
      </w:pPr>
      <w:r>
        <w:separator/>
      </w:r>
    </w:p>
  </w:endnote>
  <w:endnote w:type="continuationSeparator" w:id="0">
    <w:p w:rsidR="008039BA" w:rsidRDefault="008039BA" w:rsidP="00AD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594"/>
      <w:docPartObj>
        <w:docPartGallery w:val="Page Numbers (Bottom of Page)"/>
        <w:docPartUnique/>
      </w:docPartObj>
    </w:sdtPr>
    <w:sdtContent>
      <w:p w:rsidR="00AD0DFE" w:rsidRDefault="00AD0DFE">
        <w:pPr>
          <w:pStyle w:val="a5"/>
          <w:jc w:val="right"/>
        </w:pPr>
        <w:fldSimple w:instr=" PAGE   \* MERGEFORMAT ">
          <w:r w:rsidR="00EA5A90">
            <w:rPr>
              <w:noProof/>
            </w:rPr>
            <w:t>13</w:t>
          </w:r>
        </w:fldSimple>
      </w:p>
    </w:sdtContent>
  </w:sdt>
  <w:p w:rsidR="00AD0DFE" w:rsidRDefault="00AD0D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BA" w:rsidRDefault="008039BA" w:rsidP="00AD0DFE">
      <w:pPr>
        <w:spacing w:after="0" w:line="240" w:lineRule="auto"/>
      </w:pPr>
      <w:r>
        <w:separator/>
      </w:r>
    </w:p>
  </w:footnote>
  <w:footnote w:type="continuationSeparator" w:id="0">
    <w:p w:rsidR="008039BA" w:rsidRDefault="008039BA" w:rsidP="00AD0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BAA"/>
    <w:rsid w:val="000252AE"/>
    <w:rsid w:val="00222581"/>
    <w:rsid w:val="003423B7"/>
    <w:rsid w:val="00356CD3"/>
    <w:rsid w:val="005F2F0B"/>
    <w:rsid w:val="006658F1"/>
    <w:rsid w:val="008039BA"/>
    <w:rsid w:val="0090551C"/>
    <w:rsid w:val="0099356D"/>
    <w:rsid w:val="00AD0DFE"/>
    <w:rsid w:val="00C955E8"/>
    <w:rsid w:val="00CB39D1"/>
    <w:rsid w:val="00DF2BAA"/>
    <w:rsid w:val="00EA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F2BAA"/>
    <w:pPr>
      <w:keepNext/>
      <w:spacing w:after="0" w:line="240" w:lineRule="auto"/>
      <w:jc w:val="center"/>
      <w:outlineLvl w:val="0"/>
    </w:pPr>
    <w:rPr>
      <w:rFonts w:ascii="Courier New" w:hAnsi="Courier New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2BAA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BAA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2B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2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D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DF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D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DFE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34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dcterms:created xsi:type="dcterms:W3CDTF">2019-06-14T07:47:00Z</dcterms:created>
  <dcterms:modified xsi:type="dcterms:W3CDTF">2020-05-21T03:06:00Z</dcterms:modified>
</cp:coreProperties>
</file>