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08" w:rsidRPr="006876D7" w:rsidRDefault="00DE4208" w:rsidP="00DE4208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DE4208" w:rsidRPr="006876D7" w:rsidRDefault="00DE4208" w:rsidP="00DE4208">
      <w:pPr>
        <w:jc w:val="center"/>
        <w:rPr>
          <w:b/>
        </w:rPr>
      </w:pPr>
      <w:r>
        <w:rPr>
          <w:b/>
        </w:rPr>
        <w:t>ГОРБУНОВСКОГО</w:t>
      </w:r>
      <w:r w:rsidRPr="006876D7">
        <w:rPr>
          <w:b/>
        </w:rPr>
        <w:t xml:space="preserve"> СЕЛЬСОВЕТА</w:t>
      </w:r>
    </w:p>
    <w:p w:rsidR="00DE4208" w:rsidRDefault="00DE4208" w:rsidP="00DE4208">
      <w:pPr>
        <w:jc w:val="center"/>
        <w:rPr>
          <w:b/>
        </w:rPr>
      </w:pPr>
      <w:r>
        <w:rPr>
          <w:b/>
        </w:rPr>
        <w:t>КУЙБЫШЕВСКОГО РАЙОНА</w:t>
      </w:r>
    </w:p>
    <w:p w:rsidR="00DE4208" w:rsidRDefault="00DE4208" w:rsidP="00DE4208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DE4208" w:rsidRPr="006876D7" w:rsidRDefault="00DE4208" w:rsidP="00DE4208">
      <w:pPr>
        <w:jc w:val="center"/>
        <w:rPr>
          <w:b/>
        </w:rPr>
      </w:pPr>
    </w:p>
    <w:p w:rsidR="00DE4208" w:rsidRDefault="00DE4208" w:rsidP="00DE4208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DE4208" w:rsidRDefault="00DE4208" w:rsidP="00DE4208">
      <w:pPr>
        <w:jc w:val="center"/>
        <w:rPr>
          <w:b/>
        </w:rPr>
      </w:pPr>
    </w:p>
    <w:p w:rsidR="00DE4208" w:rsidRPr="00837A55" w:rsidRDefault="00DE4208" w:rsidP="00DE4208">
      <w:pPr>
        <w:jc w:val="center"/>
      </w:pPr>
      <w:r w:rsidRPr="00837A55">
        <w:t xml:space="preserve">С. </w:t>
      </w:r>
      <w:proofErr w:type="spellStart"/>
      <w:r w:rsidRPr="00837A55">
        <w:t>Горбуново</w:t>
      </w:r>
      <w:proofErr w:type="spellEnd"/>
    </w:p>
    <w:p w:rsidR="00DE4208" w:rsidRPr="00837A55" w:rsidRDefault="00DE4208" w:rsidP="00DE4208">
      <w:pPr>
        <w:jc w:val="center"/>
      </w:pPr>
    </w:p>
    <w:p w:rsidR="00DE4208" w:rsidRPr="00837A55" w:rsidRDefault="00DE4208" w:rsidP="00DE4208">
      <w:pPr>
        <w:jc w:val="center"/>
      </w:pPr>
      <w:r>
        <w:t>15.0</w:t>
      </w:r>
      <w:r w:rsidR="005F48C1">
        <w:t>4</w:t>
      </w:r>
      <w:r>
        <w:t xml:space="preserve">.2021 </w:t>
      </w:r>
      <w:r w:rsidRPr="00837A55">
        <w:t xml:space="preserve">№ </w:t>
      </w:r>
      <w:r w:rsidR="005B722E">
        <w:t>28</w:t>
      </w:r>
    </w:p>
    <w:p w:rsidR="00DE4208" w:rsidRPr="00E81108" w:rsidRDefault="00DE4208" w:rsidP="00DE4208"/>
    <w:p w:rsidR="00DE4208" w:rsidRDefault="00DE4208" w:rsidP="00DE42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81108">
        <w:rPr>
          <w:b/>
          <w:bCs/>
        </w:rPr>
        <w:t xml:space="preserve">Об утверждении </w:t>
      </w:r>
      <w:r>
        <w:rPr>
          <w:b/>
          <w:bCs/>
        </w:rPr>
        <w:t xml:space="preserve">результатов оценки эффективности налоговых расходов </w:t>
      </w:r>
      <w:proofErr w:type="spellStart"/>
      <w:r>
        <w:rPr>
          <w:b/>
          <w:bCs/>
        </w:rPr>
        <w:t>Горбуновского</w:t>
      </w:r>
      <w:proofErr w:type="spellEnd"/>
      <w:r>
        <w:rPr>
          <w:b/>
          <w:bCs/>
        </w:rPr>
        <w:t xml:space="preserve"> сельсовета  </w:t>
      </w:r>
    </w:p>
    <w:p w:rsidR="00DE4208" w:rsidRPr="00E81108" w:rsidRDefault="00DE4208" w:rsidP="00DE42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 xml:space="preserve">Куйбышевского района </w:t>
      </w:r>
      <w:r w:rsidRPr="00E81108">
        <w:rPr>
          <w:b/>
          <w:bCs/>
        </w:rPr>
        <w:t xml:space="preserve">Новосибирской области  </w:t>
      </w:r>
    </w:p>
    <w:p w:rsidR="00DE4208" w:rsidRPr="001A1E9C" w:rsidRDefault="00DE4208" w:rsidP="00DE42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4208" w:rsidRPr="00E81108" w:rsidRDefault="00DE4208" w:rsidP="00DE4208">
      <w:pPr>
        <w:autoSpaceDE w:val="0"/>
        <w:autoSpaceDN w:val="0"/>
        <w:adjustRightInd w:val="0"/>
        <w:ind w:firstLine="540"/>
        <w:jc w:val="both"/>
      </w:pPr>
      <w:r w:rsidRPr="00E81108">
        <w:t xml:space="preserve">В соответствии со </w:t>
      </w:r>
      <w:hyperlink r:id="rId5" w:history="1">
        <w:r w:rsidRPr="00125697">
          <w:t>статьей 174.3</w:t>
        </w:r>
      </w:hyperlink>
      <w:r w:rsidRPr="00125697">
        <w:t xml:space="preserve"> Бюджетного кодекса Российской Федерации, </w:t>
      </w:r>
      <w:hyperlink r:id="rId6" w:history="1">
        <w:r w:rsidRPr="00125697">
          <w:t>постановлением</w:t>
        </w:r>
      </w:hyperlink>
      <w:r w:rsidRPr="00125697">
        <w:t xml:space="preserve"> Правите</w:t>
      </w:r>
      <w:r w:rsidRPr="00E81108">
        <w:t xml:space="preserve">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>
        <w:t>Горбуновского</w:t>
      </w:r>
      <w:proofErr w:type="spellEnd"/>
      <w:r w:rsidRPr="00E81108">
        <w:t xml:space="preserve"> сельсовета Куйбышевского района Новосибирской области </w:t>
      </w:r>
    </w:p>
    <w:p w:rsidR="00DE4208" w:rsidRPr="00E81108" w:rsidRDefault="00DE4208" w:rsidP="00DE4208">
      <w:pPr>
        <w:autoSpaceDE w:val="0"/>
        <w:autoSpaceDN w:val="0"/>
        <w:adjustRightInd w:val="0"/>
        <w:ind w:firstLine="540"/>
        <w:jc w:val="both"/>
      </w:pPr>
      <w:r w:rsidRPr="00E81108">
        <w:t>ПОСТАНОВЛЯЕТ:</w:t>
      </w:r>
    </w:p>
    <w:p w:rsidR="00DE4208" w:rsidRPr="00E81108" w:rsidRDefault="00DE4208" w:rsidP="00DE4208">
      <w:pPr>
        <w:autoSpaceDE w:val="0"/>
        <w:autoSpaceDN w:val="0"/>
        <w:adjustRightInd w:val="0"/>
        <w:ind w:firstLine="540"/>
        <w:jc w:val="both"/>
      </w:pPr>
      <w:r>
        <w:t>1. Утвердить</w:t>
      </w:r>
      <w:r w:rsidRPr="00E81108">
        <w:t xml:space="preserve"> </w:t>
      </w:r>
      <w:r>
        <w:t xml:space="preserve">результаты оценки эффективности налоговых расходов </w:t>
      </w:r>
      <w:r w:rsidRPr="00E81108">
        <w:t xml:space="preserve"> </w:t>
      </w:r>
      <w:proofErr w:type="spellStart"/>
      <w:r>
        <w:t>Горбуновского</w:t>
      </w:r>
      <w:proofErr w:type="spellEnd"/>
      <w:r>
        <w:t xml:space="preserve"> сельсовета Куйбышевского</w:t>
      </w:r>
      <w:r w:rsidRPr="00E81108">
        <w:t xml:space="preserve"> района Новосибирской облас</w:t>
      </w:r>
      <w:r>
        <w:t xml:space="preserve">ти. </w:t>
      </w:r>
    </w:p>
    <w:p w:rsidR="00DE4208" w:rsidRPr="00E81108" w:rsidRDefault="00DE4208" w:rsidP="00DE4208">
      <w:pPr>
        <w:autoSpaceDE w:val="0"/>
        <w:autoSpaceDN w:val="0"/>
        <w:adjustRightInd w:val="0"/>
        <w:ind w:firstLine="540"/>
        <w:jc w:val="both"/>
      </w:pPr>
      <w:r w:rsidRPr="00E81108">
        <w:t>2. Опубликов</w:t>
      </w:r>
      <w:r>
        <w:t xml:space="preserve">ать настоящее постановление в бюллетене органов местного самоуправления «Вестник» </w:t>
      </w:r>
      <w:r w:rsidRPr="00E81108">
        <w:t>и разместить на о</w:t>
      </w:r>
      <w:r>
        <w:t xml:space="preserve">фициальном сайте администрации </w:t>
      </w:r>
      <w:proofErr w:type="spellStart"/>
      <w:r>
        <w:t>Горбуновского</w:t>
      </w:r>
      <w:proofErr w:type="spellEnd"/>
      <w:r>
        <w:t xml:space="preserve"> сельсовета Куйбышевского района </w:t>
      </w:r>
      <w:r w:rsidRPr="00E81108">
        <w:t>Новосибирской области.</w:t>
      </w:r>
    </w:p>
    <w:p w:rsidR="00DE4208" w:rsidRPr="00E81108" w:rsidRDefault="00DE4208" w:rsidP="00DE4208">
      <w:pPr>
        <w:pStyle w:val="a3"/>
        <w:spacing w:after="0"/>
        <w:ind w:left="0" w:firstLine="709"/>
        <w:contextualSpacing/>
        <w:jc w:val="both"/>
      </w:pPr>
      <w:r w:rsidRPr="00E81108">
        <w:t>3. Настоящее постановление вступает в силу со дня его официального опубликования.</w:t>
      </w:r>
    </w:p>
    <w:p w:rsidR="00DE4208" w:rsidRPr="00E81108" w:rsidRDefault="00DE4208" w:rsidP="00DE4208">
      <w:pPr>
        <w:autoSpaceDE w:val="0"/>
        <w:autoSpaceDN w:val="0"/>
        <w:adjustRightInd w:val="0"/>
        <w:jc w:val="both"/>
      </w:pPr>
    </w:p>
    <w:p w:rsidR="00DE4208" w:rsidRPr="00E81108" w:rsidRDefault="00DE4208" w:rsidP="00DE4208">
      <w:pPr>
        <w:autoSpaceDE w:val="0"/>
        <w:autoSpaceDN w:val="0"/>
        <w:adjustRightInd w:val="0"/>
        <w:jc w:val="both"/>
      </w:pPr>
    </w:p>
    <w:p w:rsidR="00DE4208" w:rsidRPr="00E81108" w:rsidRDefault="00DE4208" w:rsidP="00DE4208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Горбуновского</w:t>
      </w:r>
      <w:proofErr w:type="spellEnd"/>
      <w:r w:rsidRPr="00E81108">
        <w:t xml:space="preserve"> сельсовета </w:t>
      </w:r>
    </w:p>
    <w:p w:rsidR="00DE4208" w:rsidRDefault="00DE4208" w:rsidP="00DE4208">
      <w:pPr>
        <w:autoSpaceDE w:val="0"/>
        <w:autoSpaceDN w:val="0"/>
        <w:adjustRightInd w:val="0"/>
        <w:jc w:val="both"/>
      </w:pPr>
      <w:r>
        <w:t xml:space="preserve">Куйбышевского </w:t>
      </w:r>
      <w:r w:rsidRPr="00E81108">
        <w:t xml:space="preserve">района </w:t>
      </w:r>
    </w:p>
    <w:p w:rsidR="00DE4208" w:rsidRPr="00E81108" w:rsidRDefault="00DE4208" w:rsidP="00DE4208">
      <w:pPr>
        <w:autoSpaceDE w:val="0"/>
        <w:autoSpaceDN w:val="0"/>
        <w:adjustRightInd w:val="0"/>
        <w:jc w:val="both"/>
      </w:pPr>
      <w:r w:rsidRPr="00E81108">
        <w:t xml:space="preserve">Новосибирской области        </w:t>
      </w:r>
      <w:r>
        <w:t xml:space="preserve">                                                О.В.Колосов</w:t>
      </w:r>
    </w:p>
    <w:p w:rsidR="00DE4208" w:rsidRDefault="00DE4208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EB2AEE" w:rsidRPr="00E81108" w:rsidRDefault="00EB2AEE" w:rsidP="00DE4208">
      <w:pPr>
        <w:autoSpaceDE w:val="0"/>
        <w:autoSpaceDN w:val="0"/>
        <w:adjustRightInd w:val="0"/>
        <w:ind w:firstLine="540"/>
        <w:jc w:val="both"/>
      </w:pPr>
    </w:p>
    <w:p w:rsidR="00DE4208" w:rsidRPr="00E81108" w:rsidRDefault="00DE4208" w:rsidP="00DE4208">
      <w:pPr>
        <w:autoSpaceDE w:val="0"/>
        <w:autoSpaceDN w:val="0"/>
        <w:adjustRightInd w:val="0"/>
        <w:outlineLvl w:val="0"/>
      </w:pPr>
    </w:p>
    <w:p w:rsidR="00DE4208" w:rsidRDefault="00DE4208" w:rsidP="00DE4208">
      <w:pPr>
        <w:autoSpaceDE w:val="0"/>
        <w:autoSpaceDN w:val="0"/>
        <w:adjustRightInd w:val="0"/>
        <w:outlineLvl w:val="0"/>
      </w:pPr>
      <w:r w:rsidRPr="00E81108">
        <w:t xml:space="preserve">                                                                                                               </w:t>
      </w:r>
    </w:p>
    <w:p w:rsidR="00DE4208" w:rsidRDefault="00DE4208" w:rsidP="00DE4208">
      <w:pPr>
        <w:autoSpaceDE w:val="0"/>
        <w:autoSpaceDN w:val="0"/>
        <w:adjustRightInd w:val="0"/>
        <w:outlineLvl w:val="0"/>
      </w:pPr>
    </w:p>
    <w:p w:rsidR="00DE4208" w:rsidRDefault="00DE4208" w:rsidP="00DE4208">
      <w:pPr>
        <w:autoSpaceDE w:val="0"/>
        <w:autoSpaceDN w:val="0"/>
        <w:adjustRightInd w:val="0"/>
        <w:outlineLvl w:val="0"/>
      </w:pPr>
    </w:p>
    <w:p w:rsidR="0088715A" w:rsidRDefault="0088715A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>
      <w:pPr>
        <w:sectPr w:rsidR="00EB2AEE" w:rsidSect="00887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AEE" w:rsidRDefault="00EB2AEE" w:rsidP="00EB2AEE">
      <w:pPr>
        <w:jc w:val="right"/>
      </w:pPr>
      <w:r w:rsidRPr="008652F6">
        <w:lastRenderedPageBreak/>
        <w:t>УТВЕРЖДЕНА</w:t>
      </w:r>
    </w:p>
    <w:p w:rsidR="00EB2AEE" w:rsidRDefault="00EB2AEE" w:rsidP="00EB2AEE">
      <w:pPr>
        <w:jc w:val="right"/>
      </w:pPr>
      <w:r>
        <w:t>Постановлением администрации</w:t>
      </w:r>
    </w:p>
    <w:p w:rsidR="00EB2AEE" w:rsidRDefault="00EB2AEE" w:rsidP="00EB2AEE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EB2AEE" w:rsidRDefault="00EB2AEE" w:rsidP="00EB2AEE">
      <w:pPr>
        <w:jc w:val="right"/>
      </w:pPr>
      <w:r>
        <w:t>Куйбышевского района</w:t>
      </w:r>
    </w:p>
    <w:p w:rsidR="00EB2AEE" w:rsidRDefault="00EB2AEE" w:rsidP="00EB2AEE">
      <w:pPr>
        <w:jc w:val="right"/>
      </w:pPr>
      <w:r>
        <w:t>Новосибирской области</w:t>
      </w:r>
    </w:p>
    <w:p w:rsidR="00EB2AEE" w:rsidRDefault="00EB2AEE" w:rsidP="00EB2AEE">
      <w:pPr>
        <w:jc w:val="right"/>
      </w:pPr>
      <w:r>
        <w:t>От 15.04.2021№28</w:t>
      </w:r>
    </w:p>
    <w:p w:rsidR="00EB2AEE" w:rsidRDefault="00EB2AEE" w:rsidP="00EB2AEE">
      <w:pPr>
        <w:jc w:val="right"/>
      </w:pPr>
    </w:p>
    <w:p w:rsidR="00EB2AEE" w:rsidRDefault="00EB2AEE" w:rsidP="00EB2AEE">
      <w:pPr>
        <w:jc w:val="center"/>
        <w:rPr>
          <w:b/>
        </w:rPr>
      </w:pPr>
    </w:p>
    <w:p w:rsidR="00EB2AEE" w:rsidRDefault="00EB2AEE" w:rsidP="00EB2AEE">
      <w:pPr>
        <w:jc w:val="center"/>
        <w:rPr>
          <w:b/>
        </w:rPr>
      </w:pPr>
      <w:r>
        <w:rPr>
          <w:b/>
        </w:rPr>
        <w:t>РЕЗУЛЬТАТЫ</w:t>
      </w:r>
    </w:p>
    <w:p w:rsidR="00EB2AEE" w:rsidRDefault="00EB2AEE" w:rsidP="00EB2AEE">
      <w:pPr>
        <w:jc w:val="center"/>
        <w:rPr>
          <w:b/>
        </w:rPr>
      </w:pPr>
      <w:r>
        <w:rPr>
          <w:b/>
        </w:rPr>
        <w:t xml:space="preserve">Оценки эффективности налогового расхода </w:t>
      </w:r>
      <w:proofErr w:type="spellStart"/>
      <w:r>
        <w:rPr>
          <w:b/>
        </w:rPr>
        <w:t>Горбуновского</w:t>
      </w:r>
      <w:proofErr w:type="spellEnd"/>
      <w:r>
        <w:rPr>
          <w:b/>
        </w:rPr>
        <w:t xml:space="preserve"> сельсовета Куйбышевского </w:t>
      </w:r>
    </w:p>
    <w:p w:rsidR="00EB2AEE" w:rsidRDefault="00EB2AEE" w:rsidP="00EB2AEE">
      <w:pPr>
        <w:jc w:val="center"/>
        <w:rPr>
          <w:b/>
        </w:rPr>
      </w:pPr>
      <w:r>
        <w:rPr>
          <w:b/>
        </w:rPr>
        <w:t>района Новосибирской области за 2019год.  (1)</w:t>
      </w:r>
    </w:p>
    <w:p w:rsidR="00EB2AEE" w:rsidRDefault="00EB2AEE" w:rsidP="00EB2AEE">
      <w:pPr>
        <w:jc w:val="center"/>
        <w:rPr>
          <w:b/>
        </w:rPr>
      </w:pPr>
    </w:p>
    <w:tbl>
      <w:tblPr>
        <w:tblStyle w:val="a5"/>
        <w:tblW w:w="16165" w:type="dxa"/>
        <w:tblInd w:w="-856" w:type="dxa"/>
        <w:tblLayout w:type="fixed"/>
        <w:tblLook w:val="04A0"/>
      </w:tblPr>
      <w:tblGrid>
        <w:gridCol w:w="497"/>
        <w:gridCol w:w="1908"/>
        <w:gridCol w:w="1559"/>
        <w:gridCol w:w="1559"/>
        <w:gridCol w:w="1701"/>
        <w:gridCol w:w="2006"/>
        <w:gridCol w:w="1872"/>
        <w:gridCol w:w="1604"/>
        <w:gridCol w:w="1889"/>
        <w:gridCol w:w="1570"/>
      </w:tblGrid>
      <w:tr w:rsidR="00EB2AEE" w:rsidTr="000B2B3A">
        <w:tc>
          <w:tcPr>
            <w:tcW w:w="16160" w:type="dxa"/>
            <w:gridSpan w:val="10"/>
          </w:tcPr>
          <w:p w:rsidR="00EB2AEE" w:rsidRPr="00D059CC" w:rsidRDefault="00EB2AEE" w:rsidP="00EB2AE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 w:right="28" w:hanging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9CC">
              <w:rPr>
                <w:rFonts w:ascii="Times New Roman" w:hAnsi="Times New Roman" w:cs="Times New Roman"/>
                <w:sz w:val="18"/>
                <w:szCs w:val="18"/>
              </w:rPr>
              <w:t>Нормативные характеристики налогового расхода</w:t>
            </w:r>
          </w:p>
        </w:tc>
      </w:tr>
      <w:tr w:rsidR="00EB2AEE" w:rsidTr="000B2B3A">
        <w:tc>
          <w:tcPr>
            <w:tcW w:w="497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 w:rsidRPr="00D059C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59C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59CC">
              <w:rPr>
                <w:sz w:val="18"/>
                <w:szCs w:val="18"/>
              </w:rPr>
              <w:t>/</w:t>
            </w:r>
            <w:proofErr w:type="spellStart"/>
            <w:r w:rsidRPr="00D059C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08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 w:rsidRPr="00D059CC">
              <w:rPr>
                <w:sz w:val="18"/>
                <w:szCs w:val="18"/>
              </w:rPr>
              <w:t xml:space="preserve">Нормативные правовые акты муниципального </w:t>
            </w:r>
            <w:proofErr w:type="gramStart"/>
            <w:r w:rsidRPr="00D059CC">
              <w:rPr>
                <w:sz w:val="18"/>
                <w:szCs w:val="18"/>
              </w:rPr>
              <w:t>образования</w:t>
            </w:r>
            <w:proofErr w:type="gramEnd"/>
            <w:r w:rsidRPr="00D059CC">
              <w:rPr>
                <w:sz w:val="18"/>
                <w:szCs w:val="18"/>
              </w:rPr>
              <w:t xml:space="preserve">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Структурные единицы нормативных правовых актов Новосибирской области, которыми предусматриваются налоговые льготы, освобождения и иные преференции по налогам (глава, пункт, </w:t>
            </w:r>
            <w:proofErr w:type="spellStart"/>
            <w:r>
              <w:rPr>
                <w:sz w:val="18"/>
                <w:szCs w:val="18"/>
              </w:rPr>
              <w:t>обзац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701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предоставления налоговых льгот, освобождений и иных преференций для плательщиков налогов, установленные НПА</w:t>
            </w:r>
          </w:p>
        </w:tc>
        <w:tc>
          <w:tcPr>
            <w:tcW w:w="2006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категория плательщиков налогов, для которых предусмотрены налоговые льготы, освобождения и иные </w:t>
            </w:r>
            <w:proofErr w:type="gramStart"/>
            <w:r>
              <w:rPr>
                <w:sz w:val="18"/>
                <w:szCs w:val="18"/>
              </w:rPr>
              <w:t>преференции</w:t>
            </w:r>
            <w:proofErr w:type="gramEnd"/>
            <w:r>
              <w:rPr>
                <w:sz w:val="18"/>
                <w:szCs w:val="18"/>
              </w:rPr>
              <w:t xml:space="preserve"> установленные НПА муниципального образования (2)</w:t>
            </w:r>
          </w:p>
        </w:tc>
        <w:tc>
          <w:tcPr>
            <w:tcW w:w="1872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вступления в силу положений НПА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1604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предоставленного НПА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1889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действия налоговых льгот, освобождений и иных преференций по налогам, предоставленных НПА муниципального образования</w:t>
            </w:r>
          </w:p>
        </w:tc>
        <w:tc>
          <w:tcPr>
            <w:tcW w:w="1570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НПА муниципального образования</w:t>
            </w:r>
          </w:p>
        </w:tc>
      </w:tr>
      <w:tr w:rsidR="00EB2AEE" w:rsidTr="000B2B3A">
        <w:tc>
          <w:tcPr>
            <w:tcW w:w="497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8" w:type="dxa"/>
          </w:tcPr>
          <w:p w:rsidR="00EB2AEE" w:rsidRPr="00D059CC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06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2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0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B2AEE" w:rsidTr="000B2B3A">
        <w:tc>
          <w:tcPr>
            <w:tcW w:w="497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8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восьмой сессии Совета депутатов </w:t>
            </w:r>
            <w:proofErr w:type="spellStart"/>
            <w:r>
              <w:rPr>
                <w:sz w:val="18"/>
                <w:szCs w:val="18"/>
              </w:rPr>
              <w:t>Горбуновского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Куйбышевского района Новосибирской области № 4 от </w:t>
            </w:r>
            <w:r>
              <w:rPr>
                <w:sz w:val="18"/>
                <w:szCs w:val="18"/>
              </w:rPr>
              <w:lastRenderedPageBreak/>
              <w:t>19.10.2016</w:t>
            </w:r>
          </w:p>
        </w:tc>
        <w:tc>
          <w:tcPr>
            <w:tcW w:w="155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П.3</w:t>
            </w:r>
          </w:p>
        </w:tc>
        <w:tc>
          <w:tcPr>
            <w:tcW w:w="155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>
              <w:rPr>
                <w:sz w:val="18"/>
                <w:szCs w:val="18"/>
              </w:rPr>
              <w:t>преджоставленный</w:t>
            </w:r>
            <w:proofErr w:type="spellEnd"/>
            <w:r>
              <w:rPr>
                <w:sz w:val="18"/>
                <w:szCs w:val="18"/>
              </w:rPr>
              <w:t xml:space="preserve"> для непосредственного выполнения возложенных  на них функций</w:t>
            </w:r>
          </w:p>
        </w:tc>
        <w:tc>
          <w:tcPr>
            <w:tcW w:w="2006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872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</w:p>
        </w:tc>
        <w:tc>
          <w:tcPr>
            <w:tcW w:w="1604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</w:p>
        </w:tc>
        <w:tc>
          <w:tcPr>
            <w:tcW w:w="1889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01.01.2017-01.01.2020</w:t>
            </w:r>
          </w:p>
        </w:tc>
        <w:tc>
          <w:tcPr>
            <w:tcW w:w="1570" w:type="dxa"/>
          </w:tcPr>
          <w:p w:rsidR="00EB2AEE" w:rsidRDefault="00EB2AEE" w:rsidP="000B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</w:tr>
    </w:tbl>
    <w:p w:rsidR="00EB2AEE" w:rsidRDefault="00EB2AEE" w:rsidP="00EB2AEE">
      <w:pPr>
        <w:jc w:val="center"/>
        <w:rPr>
          <w:b/>
        </w:rPr>
      </w:pPr>
    </w:p>
    <w:p w:rsidR="00EB2AEE" w:rsidRDefault="00EB2AEE" w:rsidP="00EB2AEE">
      <w:pPr>
        <w:tabs>
          <w:tab w:val="left" w:pos="2145"/>
        </w:tabs>
      </w:pPr>
      <w:r>
        <w:tab/>
      </w:r>
    </w:p>
    <w:p w:rsidR="00EB2AEE" w:rsidRDefault="00EB2AEE" w:rsidP="00EB2AEE">
      <w:pPr>
        <w:tabs>
          <w:tab w:val="left" w:pos="2145"/>
        </w:tabs>
      </w:pPr>
    </w:p>
    <w:p w:rsidR="00EB2AEE" w:rsidRPr="00C24DEC" w:rsidRDefault="00EB2AEE" w:rsidP="00EB2AEE">
      <w:pPr>
        <w:tabs>
          <w:tab w:val="left" w:pos="2145"/>
        </w:tabs>
      </w:pPr>
    </w:p>
    <w:tbl>
      <w:tblPr>
        <w:tblStyle w:val="a5"/>
        <w:tblW w:w="15310" w:type="dxa"/>
        <w:tblInd w:w="-431" w:type="dxa"/>
        <w:tblLayout w:type="fixed"/>
        <w:tblLook w:val="04A0"/>
      </w:tblPr>
      <w:tblGrid>
        <w:gridCol w:w="461"/>
        <w:gridCol w:w="1383"/>
        <w:gridCol w:w="1134"/>
        <w:gridCol w:w="1276"/>
        <w:gridCol w:w="1417"/>
        <w:gridCol w:w="1276"/>
        <w:gridCol w:w="1276"/>
        <w:gridCol w:w="1536"/>
        <w:gridCol w:w="1299"/>
        <w:gridCol w:w="1299"/>
        <w:gridCol w:w="1394"/>
        <w:gridCol w:w="1559"/>
      </w:tblGrid>
      <w:tr w:rsidR="00EB2AEE" w:rsidRPr="00C24DEC" w:rsidTr="000B2B3A">
        <w:tc>
          <w:tcPr>
            <w:tcW w:w="15310" w:type="dxa"/>
            <w:gridSpan w:val="12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 w:rsidRPr="00C24DEC">
              <w:rPr>
                <w:sz w:val="18"/>
                <w:szCs w:val="18"/>
                <w:lang w:val="en-US"/>
              </w:rPr>
              <w:t>II</w:t>
            </w:r>
            <w:r w:rsidRPr="00C24D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Целевые характеристики налогового расхода</w:t>
            </w:r>
          </w:p>
        </w:tc>
      </w:tr>
      <w:tr w:rsidR="00EB2AEE" w:rsidRPr="00C24DEC" w:rsidTr="000B2B3A">
        <w:tc>
          <w:tcPr>
            <w:tcW w:w="461" w:type="dxa"/>
          </w:tcPr>
          <w:p w:rsidR="00EB2AEE" w:rsidRPr="00C24DEC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83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категория налогового расхода (3)</w:t>
            </w:r>
          </w:p>
        </w:tc>
        <w:tc>
          <w:tcPr>
            <w:tcW w:w="1276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 налоговых льгот, освобождений и иных преференций плательщиков налогов, установленных НПА муниципального образования</w:t>
            </w:r>
          </w:p>
        </w:tc>
        <w:tc>
          <w:tcPr>
            <w:tcW w:w="1417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налогов, по которым предусматриваются налоговые льготы, освобождения и иные </w:t>
            </w:r>
            <w:proofErr w:type="gramStart"/>
            <w:r>
              <w:rPr>
                <w:sz w:val="18"/>
                <w:szCs w:val="18"/>
              </w:rPr>
              <w:t>преференции</w:t>
            </w:r>
            <w:proofErr w:type="gramEnd"/>
            <w:r>
              <w:rPr>
                <w:sz w:val="18"/>
                <w:szCs w:val="18"/>
              </w:rPr>
              <w:t xml:space="preserve"> установленные НПА муниципального образования</w:t>
            </w:r>
          </w:p>
        </w:tc>
        <w:tc>
          <w:tcPr>
            <w:tcW w:w="1276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 (пониженная ставка, освобождение)</w:t>
            </w:r>
          </w:p>
        </w:tc>
        <w:tc>
          <w:tcPr>
            <w:tcW w:w="1276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налоговой </w:t>
            </w:r>
            <w:proofErr w:type="gramStart"/>
            <w:r>
              <w:rPr>
                <w:sz w:val="18"/>
                <w:szCs w:val="18"/>
              </w:rPr>
              <w:t>ставки</w:t>
            </w:r>
            <w:proofErr w:type="gramEnd"/>
            <w:r>
              <w:rPr>
                <w:sz w:val="18"/>
                <w:szCs w:val="18"/>
              </w:rPr>
              <w:t xml:space="preserve">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3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  <w:p w:rsidR="00EB2AEE" w:rsidRPr="00B35000" w:rsidRDefault="00EB2AEE" w:rsidP="000B2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НПА определяющих цели социально-экономической политики муниципального образования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не относящихся к муниципальной программе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29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структурных элементов муниципальных программ</w:t>
            </w:r>
          </w:p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образования в целях </w:t>
            </w:r>
            <w:proofErr w:type="gramStart"/>
            <w:r>
              <w:rPr>
                <w:sz w:val="18"/>
                <w:szCs w:val="18"/>
              </w:rPr>
              <w:t>реализации</w:t>
            </w:r>
            <w:proofErr w:type="gramEnd"/>
            <w:r>
              <w:rPr>
                <w:sz w:val="18"/>
                <w:szCs w:val="18"/>
              </w:rPr>
              <w:t xml:space="preserve"> которых предоставляются налоговые льготы, освобождения и иные преференции для плательщиков налогов (</w:t>
            </w:r>
            <w:proofErr w:type="spellStart"/>
            <w:r>
              <w:rPr>
                <w:sz w:val="18"/>
                <w:szCs w:val="18"/>
              </w:rPr>
              <w:t>общепрограммные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или задачи)</w:t>
            </w:r>
          </w:p>
        </w:tc>
        <w:tc>
          <w:tcPr>
            <w:tcW w:w="1299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(индикатор) муниципальной программы муниципального образования и (или) достижения целей социально-экономической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и иных преференций для налогоплательщиков</w:t>
            </w:r>
          </w:p>
        </w:tc>
        <w:tc>
          <w:tcPr>
            <w:tcW w:w="1394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освобождениями и иными преференциями для отдельных видов экономической деятельности)</w:t>
            </w:r>
          </w:p>
        </w:tc>
        <w:tc>
          <w:tcPr>
            <w:tcW w:w="1559" w:type="dxa"/>
          </w:tcPr>
          <w:p w:rsidR="00EB2AEE" w:rsidRPr="00C24DEC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Принадлежность налогового расхода к группе полномочий в соответствии с методикой распределения дотаций утвержденной постановлением Правительства РФ от 22.11.2004 №670 «О распределении дотаций на выравнивание бюджетной обеспеченности и субъектов Российской Федерации.</w:t>
            </w:r>
          </w:p>
        </w:tc>
      </w:tr>
      <w:tr w:rsidR="00EB2AEE" w:rsidRPr="00C24DEC" w:rsidTr="000B2B3A">
        <w:tc>
          <w:tcPr>
            <w:tcW w:w="461" w:type="dxa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B2AEE" w:rsidRPr="00C24DEC" w:rsidTr="000B2B3A">
        <w:tc>
          <w:tcPr>
            <w:tcW w:w="461" w:type="dxa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83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13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освобождение</w:t>
            </w:r>
          </w:p>
        </w:tc>
        <w:tc>
          <w:tcPr>
            <w:tcW w:w="127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536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социально-экономического развития </w:t>
            </w:r>
            <w:proofErr w:type="spellStart"/>
            <w:r>
              <w:rPr>
                <w:sz w:val="18"/>
                <w:szCs w:val="18"/>
              </w:rPr>
              <w:t>Горбуновского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9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населения</w:t>
            </w:r>
          </w:p>
        </w:tc>
        <w:tc>
          <w:tcPr>
            <w:tcW w:w="139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</w:tr>
    </w:tbl>
    <w:p w:rsidR="00EB2AEE" w:rsidRDefault="00EB2AEE" w:rsidP="00EB2AEE">
      <w:pPr>
        <w:tabs>
          <w:tab w:val="left" w:pos="2145"/>
        </w:tabs>
        <w:rPr>
          <w:sz w:val="18"/>
          <w:szCs w:val="18"/>
        </w:rPr>
      </w:pPr>
    </w:p>
    <w:p w:rsidR="00EB2AEE" w:rsidRDefault="00EB2AEE" w:rsidP="00EB2AEE">
      <w:pPr>
        <w:tabs>
          <w:tab w:val="left" w:pos="2145"/>
        </w:tabs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704"/>
        <w:gridCol w:w="1617"/>
        <w:gridCol w:w="2069"/>
        <w:gridCol w:w="1618"/>
        <w:gridCol w:w="1618"/>
        <w:gridCol w:w="1618"/>
        <w:gridCol w:w="1618"/>
        <w:gridCol w:w="1618"/>
        <w:gridCol w:w="1618"/>
      </w:tblGrid>
      <w:tr w:rsidR="00EB2AEE" w:rsidTr="000B2B3A">
        <w:tc>
          <w:tcPr>
            <w:tcW w:w="14098" w:type="dxa"/>
            <w:gridSpan w:val="9"/>
          </w:tcPr>
          <w:p w:rsidR="00EB2AEE" w:rsidRPr="00F278A6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>. Фискальные характеристики налогового расхода</w:t>
            </w:r>
          </w:p>
        </w:tc>
      </w:tr>
      <w:tr w:rsidR="00EB2AEE" w:rsidTr="000B2B3A">
        <w:tc>
          <w:tcPr>
            <w:tcW w:w="704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gridSpan w:val="2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налоговых льгот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(тыс. руб.)</w:t>
            </w:r>
          </w:p>
        </w:tc>
        <w:tc>
          <w:tcPr>
            <w:tcW w:w="6472" w:type="dxa"/>
            <w:gridSpan w:val="4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объема предоставленных налоговых льгот, освобождений и иных преференций для плательщиков налогов (тыс. руб.)</w:t>
            </w:r>
          </w:p>
        </w:tc>
        <w:tc>
          <w:tcPr>
            <w:tcW w:w="3236" w:type="dxa"/>
            <w:gridSpan w:val="2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</w:tr>
      <w:tr w:rsidR="00EB2AEE" w:rsidTr="000B2B3A">
        <w:tc>
          <w:tcPr>
            <w:tcW w:w="704" w:type="dxa"/>
            <w:vMerge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год предшествующий отчетному году</w:t>
            </w:r>
          </w:p>
        </w:tc>
        <w:tc>
          <w:tcPr>
            <w:tcW w:w="206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год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gramStart"/>
            <w:r>
              <w:rPr>
                <w:sz w:val="18"/>
                <w:szCs w:val="18"/>
              </w:rPr>
              <w:t>предшествующий</w:t>
            </w:r>
            <w:proofErr w:type="gramEnd"/>
            <w:r>
              <w:rPr>
                <w:sz w:val="18"/>
                <w:szCs w:val="18"/>
              </w:rPr>
              <w:t xml:space="preserve"> отчетному году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год</w:t>
            </w:r>
          </w:p>
        </w:tc>
      </w:tr>
      <w:tr w:rsidR="00EB2AEE" w:rsidTr="000B2B3A">
        <w:tc>
          <w:tcPr>
            <w:tcW w:w="70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B2AEE" w:rsidTr="000B2B3A">
        <w:tc>
          <w:tcPr>
            <w:tcW w:w="70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06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26,631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EB2AEE" w:rsidRDefault="00EB2AEE" w:rsidP="00EB2AEE">
      <w:pPr>
        <w:tabs>
          <w:tab w:val="left" w:pos="2145"/>
        </w:tabs>
        <w:rPr>
          <w:sz w:val="18"/>
          <w:szCs w:val="18"/>
        </w:rPr>
      </w:pPr>
    </w:p>
    <w:tbl>
      <w:tblPr>
        <w:tblStyle w:val="a5"/>
        <w:tblW w:w="15451" w:type="dxa"/>
        <w:tblInd w:w="-572" w:type="dxa"/>
        <w:tblLayout w:type="fixed"/>
        <w:tblLook w:val="04A0"/>
      </w:tblPr>
      <w:tblGrid>
        <w:gridCol w:w="567"/>
        <w:gridCol w:w="1504"/>
        <w:gridCol w:w="1625"/>
        <w:gridCol w:w="2087"/>
        <w:gridCol w:w="1579"/>
        <w:gridCol w:w="1501"/>
        <w:gridCol w:w="2487"/>
        <w:gridCol w:w="1397"/>
        <w:gridCol w:w="1397"/>
        <w:gridCol w:w="1307"/>
      </w:tblGrid>
      <w:tr w:rsidR="00EB2AEE" w:rsidTr="000B2B3A">
        <w:tc>
          <w:tcPr>
            <w:tcW w:w="15451" w:type="dxa"/>
            <w:gridSpan w:val="10"/>
          </w:tcPr>
          <w:p w:rsidR="00EB2AEE" w:rsidRPr="002B6568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Результаты оценки эффективности налогового расхода</w:t>
            </w:r>
          </w:p>
        </w:tc>
      </w:tr>
      <w:tr w:rsidR="00EB2AEE" w:rsidTr="000B2B3A">
        <w:tc>
          <w:tcPr>
            <w:tcW w:w="567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29" w:type="dxa"/>
            <w:gridSpan w:val="2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целесообразности налогового расхода</w:t>
            </w:r>
          </w:p>
        </w:tc>
        <w:tc>
          <w:tcPr>
            <w:tcW w:w="5167" w:type="dxa"/>
            <w:gridSpan w:val="3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результативности налогового расхода</w:t>
            </w:r>
          </w:p>
        </w:tc>
        <w:tc>
          <w:tcPr>
            <w:tcW w:w="2487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Выводы о достижении целевых характеристик налогового расхода, вкладе налогового расхода в достижение целей и (или) решение задач муниципальной программы и (или) целей  социально-экономической политики муниципального образования, не относящихся к муниципальной программе, а также о наличии или об отсутствии более результативных (менее затратных для местного бюджета) альтернативных </w:t>
            </w:r>
            <w:r>
              <w:rPr>
                <w:sz w:val="18"/>
                <w:szCs w:val="18"/>
              </w:rPr>
              <w:lastRenderedPageBreak/>
              <w:t>механизмов достижения целей, и (или) решения задач муниципальной программы и (или) целей социально-экономической политики</w:t>
            </w:r>
            <w:proofErr w:type="gramEnd"/>
            <w:r>
              <w:rPr>
                <w:sz w:val="18"/>
                <w:szCs w:val="18"/>
              </w:rPr>
              <w:t xml:space="preserve"> муниципального образования не </w:t>
            </w:r>
            <w:proofErr w:type="gramStart"/>
            <w:r>
              <w:rPr>
                <w:sz w:val="18"/>
                <w:szCs w:val="18"/>
              </w:rPr>
              <w:t>относящихся</w:t>
            </w:r>
            <w:proofErr w:type="gramEnd"/>
            <w:r>
              <w:rPr>
                <w:sz w:val="18"/>
                <w:szCs w:val="18"/>
              </w:rPr>
              <w:t xml:space="preserve"> к муниципальной программе</w:t>
            </w:r>
          </w:p>
        </w:tc>
        <w:tc>
          <w:tcPr>
            <w:tcW w:w="1397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Рекомендации по результатам оценки эффективности налогового расхода, включая предложения о необходимости сохранения (уточнения, отмены) налоговой льготы, освобождения и иной преференции, </w:t>
            </w:r>
            <w:r>
              <w:rPr>
                <w:sz w:val="18"/>
                <w:szCs w:val="18"/>
              </w:rPr>
              <w:lastRenderedPageBreak/>
              <w:t>предоставленной для плательщиков налогов</w:t>
            </w:r>
          </w:p>
        </w:tc>
        <w:tc>
          <w:tcPr>
            <w:tcW w:w="1397" w:type="dxa"/>
            <w:vMerge w:val="restart"/>
          </w:tcPr>
          <w:p w:rsidR="00EB2AEE" w:rsidRDefault="00EB2AEE" w:rsidP="000B2B3A">
            <w:pPr>
              <w:tabs>
                <w:tab w:val="left" w:pos="11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Реквизиты правового акта куратора налогового расхода, утверждающего методику оценки эффективности налогового расхода</w:t>
            </w:r>
          </w:p>
        </w:tc>
        <w:tc>
          <w:tcPr>
            <w:tcW w:w="1307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</w:t>
            </w:r>
          </w:p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 эффективно)</w:t>
            </w:r>
          </w:p>
        </w:tc>
      </w:tr>
      <w:tr w:rsidR="00EB2AEE" w:rsidTr="000B2B3A">
        <w:tc>
          <w:tcPr>
            <w:tcW w:w="56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налогового расхода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</w:t>
            </w:r>
            <w:r>
              <w:rPr>
                <w:sz w:val="18"/>
                <w:szCs w:val="18"/>
              </w:rPr>
              <w:lastRenderedPageBreak/>
              <w:t>относящихся к муниципальным программам</w:t>
            </w:r>
          </w:p>
        </w:tc>
        <w:tc>
          <w:tcPr>
            <w:tcW w:w="1625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Востребованность</w:t>
            </w:r>
            <w:proofErr w:type="spellEnd"/>
            <w:r>
              <w:rPr>
                <w:sz w:val="18"/>
                <w:szCs w:val="18"/>
              </w:rPr>
              <w:t xml:space="preserve"> налогового расхода</w:t>
            </w:r>
          </w:p>
        </w:tc>
        <w:tc>
          <w:tcPr>
            <w:tcW w:w="2087" w:type="dxa"/>
            <w:vMerge w:val="restart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Влияние налогового расхода на показатель (индикатор) муниципальной программы и (или) достижения целей социально-экономической политики муниципального образования не относящихся к муниципальным программам, либо иной показатель (индикатор), </w:t>
            </w:r>
            <w:r>
              <w:rPr>
                <w:sz w:val="18"/>
                <w:szCs w:val="18"/>
              </w:rPr>
              <w:lastRenderedPageBreak/>
              <w:t>на значение которого оказывает влияние налоговый расход</w:t>
            </w:r>
          </w:p>
        </w:tc>
        <w:tc>
          <w:tcPr>
            <w:tcW w:w="3080" w:type="dxa"/>
            <w:gridSpan w:val="2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Оценка бюджетной эффективности налогового расхода</w:t>
            </w:r>
          </w:p>
        </w:tc>
        <w:tc>
          <w:tcPr>
            <w:tcW w:w="248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</w:tr>
      <w:tr w:rsidR="00EB2AEE" w:rsidTr="000B2B3A">
        <w:tc>
          <w:tcPr>
            <w:tcW w:w="56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>
              <w:rPr>
                <w:sz w:val="18"/>
                <w:szCs w:val="18"/>
              </w:rPr>
              <w:t xml:space="preserve">применения альтернативных механизмов достижения целей муниципальной </w:t>
            </w:r>
            <w:r>
              <w:rPr>
                <w:sz w:val="18"/>
                <w:szCs w:val="18"/>
              </w:rPr>
              <w:lastRenderedPageBreak/>
              <w:t>программы</w:t>
            </w:r>
            <w:proofErr w:type="gramEnd"/>
            <w:r>
              <w:rPr>
                <w:sz w:val="18"/>
                <w:szCs w:val="18"/>
              </w:rPr>
              <w:t xml:space="preserve"> и (или) целей социально-экономической политики не относящихся к муниципальным программа муниципального образования</w:t>
            </w:r>
          </w:p>
        </w:tc>
        <w:tc>
          <w:tcPr>
            <w:tcW w:w="1501" w:type="dxa"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Оценка совокупного бюджетного эффекта (для стимулирующих налоговых расходов) (4)</w:t>
            </w:r>
          </w:p>
        </w:tc>
        <w:tc>
          <w:tcPr>
            <w:tcW w:w="248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EB2AEE" w:rsidRDefault="00EB2AEE" w:rsidP="000B2B3A">
            <w:pPr>
              <w:tabs>
                <w:tab w:val="left" w:pos="2145"/>
              </w:tabs>
              <w:rPr>
                <w:sz w:val="18"/>
                <w:szCs w:val="18"/>
              </w:rPr>
            </w:pPr>
          </w:p>
        </w:tc>
      </w:tr>
      <w:tr w:rsidR="00EB2AEE" w:rsidTr="000B2B3A">
        <w:tc>
          <w:tcPr>
            <w:tcW w:w="56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0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1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9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B2AEE" w:rsidTr="000B2B3A">
        <w:tc>
          <w:tcPr>
            <w:tcW w:w="56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нецелесообразна</w:t>
            </w:r>
          </w:p>
        </w:tc>
        <w:tc>
          <w:tcPr>
            <w:tcW w:w="1625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влияет</w:t>
            </w:r>
          </w:p>
        </w:tc>
        <w:tc>
          <w:tcPr>
            <w:tcW w:w="1579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влияет</w:t>
            </w:r>
          </w:p>
        </w:tc>
        <w:tc>
          <w:tcPr>
            <w:tcW w:w="1501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8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расходы в достижении социально-экономического развития экономики влияния не оказывает</w:t>
            </w:r>
          </w:p>
        </w:tc>
        <w:tc>
          <w:tcPr>
            <w:tcW w:w="139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Льгота отменена</w:t>
            </w:r>
          </w:p>
        </w:tc>
        <w:tc>
          <w:tcPr>
            <w:tcW w:w="139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Горбуновского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Куйбышевского района Новосибирской области  № 1 от 11.01.2021</w:t>
            </w:r>
          </w:p>
        </w:tc>
        <w:tc>
          <w:tcPr>
            <w:tcW w:w="1307" w:type="dxa"/>
          </w:tcPr>
          <w:p w:rsidR="00EB2AEE" w:rsidRDefault="00EB2AEE" w:rsidP="000B2B3A">
            <w:pPr>
              <w:tabs>
                <w:tab w:val="left" w:pos="21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эффективно</w:t>
            </w:r>
          </w:p>
        </w:tc>
      </w:tr>
    </w:tbl>
    <w:p w:rsidR="00EB2AEE" w:rsidRDefault="00EB2AEE" w:rsidP="00EB2AEE">
      <w:pPr>
        <w:tabs>
          <w:tab w:val="left" w:pos="2145"/>
        </w:tabs>
        <w:rPr>
          <w:sz w:val="18"/>
          <w:szCs w:val="18"/>
        </w:rPr>
      </w:pPr>
    </w:p>
    <w:p w:rsidR="00EB2AEE" w:rsidRDefault="00EB2AEE" w:rsidP="00EB2AEE">
      <w:pPr>
        <w:pStyle w:val="a6"/>
        <w:numPr>
          <w:ilvl w:val="0"/>
          <w:numId w:val="2"/>
        </w:num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5F0744">
        <w:rPr>
          <w:rFonts w:ascii="Times New Roman" w:hAnsi="Times New Roman" w:cs="Times New Roman"/>
          <w:sz w:val="24"/>
          <w:szCs w:val="24"/>
        </w:rPr>
        <w:t>Если в ведении куратора налогового расхода находятся несколько налоговых расходов, наименование формы излагается во множественном числе, а каждый налоговый расход включается в таблицы в отдельной строке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2AEE" w:rsidRDefault="00EB2AEE" w:rsidP="00EB2AEE">
      <w:pPr>
        <w:pStyle w:val="a6"/>
        <w:numPr>
          <w:ilvl w:val="0"/>
          <w:numId w:val="2"/>
        </w:num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предприниматели, и (или) физические лица;</w:t>
      </w:r>
    </w:p>
    <w:p w:rsidR="00EB2AEE" w:rsidRDefault="00EB2AEE" w:rsidP="00EB2AEE">
      <w:pPr>
        <w:pStyle w:val="a6"/>
        <w:numPr>
          <w:ilvl w:val="0"/>
          <w:numId w:val="2"/>
        </w:num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категория налогового расхода (социальная, техническая, стимулирующая) указывается в соответствии с Порядком формирования перечнем налоговых расходов Куйбышевского муниципального района Новосибирской области и оценки налоговых расходов Куйбышевского муниципального района Новосибирской области, утвержденным постановлением администрации Куйбышевского муниципального района Новосибирской области от 27.11.2020 № 1008;</w:t>
      </w:r>
    </w:p>
    <w:p w:rsidR="00EB2AEE" w:rsidRPr="005F0744" w:rsidRDefault="00EB2AEE" w:rsidP="00EB2AEE">
      <w:pPr>
        <w:pStyle w:val="a6"/>
        <w:numPr>
          <w:ilvl w:val="0"/>
          <w:numId w:val="2"/>
        </w:num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совокупного бюджетного эффекта проводится для стимулирующих налоговых расходов за год, предшествующий отчетному году.</w:t>
      </w:r>
      <w:bookmarkStart w:id="0" w:name="_GoBack"/>
      <w:bookmarkEnd w:id="0"/>
    </w:p>
    <w:p w:rsidR="00EB2AEE" w:rsidRDefault="00EB2AEE"/>
    <w:p w:rsidR="00EB2AEE" w:rsidRDefault="00EB2AEE"/>
    <w:p w:rsidR="00EB2AEE" w:rsidRDefault="00EB2AEE">
      <w:pPr>
        <w:sectPr w:rsidR="00EB2AEE" w:rsidSect="00EB2A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p w:rsidR="00EB2AEE" w:rsidRDefault="00EB2AEE"/>
    <w:sectPr w:rsidR="00EB2AEE" w:rsidSect="0088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3AC"/>
    <w:multiLevelType w:val="hybridMultilevel"/>
    <w:tmpl w:val="2B54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41F7"/>
    <w:multiLevelType w:val="hybridMultilevel"/>
    <w:tmpl w:val="2350F8CC"/>
    <w:lvl w:ilvl="0" w:tplc="1806F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08"/>
    <w:rsid w:val="00145F80"/>
    <w:rsid w:val="005B722E"/>
    <w:rsid w:val="005F48C1"/>
    <w:rsid w:val="0088715A"/>
    <w:rsid w:val="00AE25C5"/>
    <w:rsid w:val="00DE4208"/>
    <w:rsid w:val="00EB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0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42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EB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A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2021-04-16T02:19:00Z</dcterms:created>
  <dcterms:modified xsi:type="dcterms:W3CDTF">2021-04-16T07:13:00Z</dcterms:modified>
</cp:coreProperties>
</file>